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rPr>
      </w:pPr>
      <w:r>
        <w:rPr>
          <w:rFonts w:hint="eastAsia" w:ascii="方正小标宋_GBK" w:hAnsi="方正小标宋_GBK" w:eastAsia="方正小标宋_GBK" w:cs="方正小标宋_GBK"/>
          <w:b w:val="0"/>
          <w:bCs w:val="0"/>
          <w:i w:val="0"/>
          <w:iCs w:val="0"/>
          <w:caps w:val="0"/>
          <w:color w:val="333333"/>
          <w:spacing w:val="0"/>
          <w:sz w:val="44"/>
          <w:szCs w:val="44"/>
          <w:bdr w:val="none" w:color="auto" w:sz="0" w:space="0"/>
          <w:shd w:val="clear" w:fill="FFFFFF"/>
        </w:rPr>
        <w:t>山东省节约用水办法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山东省人民政府令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第311号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《山东省人民政府关于修改〈山东省节约用水办法〉等33件省政府规章的决定》已经2018年1月2日省政府第119次常务会议审议通过，现予公布，自公布之日起施行。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省长龚正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2018年1月24日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山东省人民政府关于修改《山东省节约用水办法》等33件省政府规章的决定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根据中共中央、国务院《关于印发〈法治政府建设实施纲要（2015—2020年）〉的通知》（中发〔2015〕32号）、《国务院办公厅关于进一步做好“放管服”改革涉及的政府规章、规范性文件清理工作的通知》（国办发〔2017〕40号）以及中央关于做好生态文明建设和环境保护规章清理工作的要求，经过对现行有效的省政府规章进行清理，省政府决定对《山东省节约用水办法》等33件省政府规章作如下修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一、山东省节约用水办法（山东省人民政府令第160号）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（一）删去第十二条第三款。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（二）删去第十八条第一款中的“报告书”。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（三）将第三十一条第一款修改为：“违反本办法第十二条规定，未安装计量设施或者计量设施不合格或者运行不正常的，依照《取水许可和水资源费征收管理条例》第五十三条规定处罚。”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山东省节约用水办法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省政府令第160号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第一章</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为合理开发、有效利用和保护水资源，促进全社会节约用水(以下简称节水)，保障经济与社会可持续发展，根据《中华人民共和国水法》，结合本省实际，制定本办法。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在本省行政区域内从事用水(含取水，下同)和节水管理活动的，必须遵守本办法。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节水应当坚持合理开发、高效利用和统一管理的原则。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县以上水行政主管部门负责本行政区域内节水的统一管理和监督工作。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经贸、建设、质量监督检验等部门应当按照职责分工，做好节水的有关工作。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各级人民政府应当加强节水工作的领导，加大节水资金的投入，建立科学的水价调控机制和节水技术开发推广体系，广泛开展节水宣传教育和科学研究等活动，发展节水型工业、农业和服务业，建立节水型社会。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各级人民政府应当采取有效措施，涵养水源，防止水体污染和水源枯竭，加大城市污水集中处理力度，提高水资源的可利用率，逐步实现城市污水资源化。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开发利用水资源应当按照优先利用地表水、积极引用客水、限制开采地下水、鼓励回用再生水和综合利用海水、微咸水、矿坑水的原则，对当地地表水、客水和地下水实行统一调度、合理配置。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任何单位和个人必须履行节水的义务，并有权对违反节水规定的行为进行举报。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县以上水行政主管部门应当设立并向社会公布举报电话。水行政主管部门接到举报后，应当及时组织处理。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第二章</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用水定额与计划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用水实行总量控制和定额管理相结合的制度。用水定额应当作为确定用水总量和用水计划的基础。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用水定额由省有关行业主管部门制订，经省水行政主管部门和质量监督检验部门审核同意后，报省人民政府公布执行。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用水定额应当根据水资源供求和社会经济技术条件变化情况定期进行修订。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县以上发展计划主管部门应当会同同级水行政主管部门，根据用水定额、经济技术条件以及水量分配方案确定的可供本行政区域使用的水量，制定年度用水计划，对本行政区域的年度用水实行总量控制。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用水应当计量，并按照批准的用水计划用水。用水单位和个人应当装置合格的量水计量设施。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城市居民住宅应当分户安装量水计量设施；工业企业的生产用水和生活用水应当分别计量，主要用水车间和用水设备应当单独安装量水计量设施；农业灌溉应当完善量水计量设施，逐步实行计量收费。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用水单位和个人未按规定装置量水计量设施或者未及时更换已损坏的量水计量设施的，按照取水建筑物设计取水能力或者取水设备额定流量全时程运行计算其用水量。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任何单位和个人不得实施危害供水设施和量水计量设施安全的行为。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实行计量收费和超定额累进加价制度。用水单位和个人应当按照计量值缴纳水资源费和水费。水费的价格标准可以按照用途分类计价。使用公共供水的单位和个人在用水定额范围内用水的，按照规定的价格标准缴纳水费；超定额用水的，按照超定额累进加价制度缴纳水费。超定额累进加价收取的水费，纳入同级财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使用自备水源的单位和个人在用水定额范围内用水的，按照规定的标准缴纳水资源费；超定额用水的，按照超定额累进加价制度缴纳水资源费。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超定额累进加价收取水资源费、水费的具体标准，由省价格、财政部门会同省有关部门另行规定。任何单位不得实行居民生活用水包费制。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设区的市人民政府可以制定低于省规定的用水定额，并报省水行政主管部门和有关部门备案。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第三章</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节水措施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县以上水行政主管部门应当根据当地水资源条件和社会经济发展水平编制本行政区域的节水规划，征求有关部门意见后，报同级人民政府批准执行。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县以上人民政府应当采取措施，扶持节水技术、设备和产品的研究开发、推广和利用，对重点节水技术研究开发项目应当优先列入技术创新计划和科技攻关计划。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用水单位和个人应当采用节水型工艺、设备和产品。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禁止生产、销售和使用国家明令淘汰的高耗水工艺、设备和产品。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禁止使用省明令淘汰的高耗水工艺、设备和产品。省明令淘汰的高耗水工艺、设备和产品的具体名录，由省经贸主管部门会同省水行政主管部门和有关主管部门制定并公布。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已安装使用国家和省明令淘汰的高耗水工艺、设备和产品的，使用单位和个人应当在规定时间内更换或者对其进行节水改造。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按照国家有关规定，需要申请取水许可的新建、改建、扩建建设项目，应当进行水资源论证。水资源论证报告书应当包括节水的内容。水行政主管部门在审批取水许可时，应当严格控制地下水的开采量。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新建、改建、扩建建设项目应当建设相应的节水设施，提高水的综合利用水平。节水设施应当与主体工程同时设计、同时施工、同时投产使用。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前款规定的建设项目节水设施的建设要求，由省水行政主管部门会同省经贸、建设等有关部门分类制定并公布执行。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规划建筑面积和日均用水量超过规定规模的新建宾馆、饭店、住宅小区、机关事业企业单位办公设施和其他建设项目，必须建设中水设施。建设项目竣工验收时，应当有水行政主管部门参加。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已建成的中水设施和其他节水设施应当保持正常运转。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已建成的中水设施和其他节水设施不能保持正常运转的，产权人或其委托的管理单位应当提前向当地水行政主管部门作出说明。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工业用水应当采用先进的技术、工艺和设备，增加水循环次数，提高水的重复利用率。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饮料和其他以水为主要原料的生产企业应当对生产后的尾水进行回收利用，不得直接排放。饮用水生产企业的产水率不得低于规定的原料水比率。具体比率由省经济综合主管部门会同省水行政主管部门制定。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经营洗浴、游泳、水上娱乐业和洗车业的用水单位和个人，必须采取节水措施，并对排放水进行综合利用。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公共供水单位应当加强对供水管网的维护，定期进行管网查漏。公共供水管网漏失率不得高于国家规定的标准；漏失率高于国家规定标准的，公共供水单位应当及时维修和改造。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拥有自备水源的单位，应当采取有效措施，降低供水管网漏失率，保持取水与用水的基本平衡。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园林绿化、环境卫生、洗车业、建筑业应当优先使用劣质水。在接通中水和其他再生水的地区，应当优先使用中水和其他再生水。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城市绿化应当优先选用耐旱型树木、花草。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城市公园和绿化带应当采用喷灌、微灌等节水灌溉方式。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在城市供水管网覆盖区域内，不得为家庭生活等非经营性活动开凿水井。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各级人民政府应当逐步增加农业节水灌溉的投入，大力推行渠道防渗、管道输水灌溉、喷灌、微灌等节水灌溉技术，对灌区进行节水灌溉技术改造，提高农业灌溉用水的利用率。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各级人民政府应当采取有效措施，扶持农业旱作技术和农作物抗旱新品种的研究开发和推广，推动节水型农业的发展。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各级人民政府应当鼓励农民和社会各方，采取多种形式投资发展农业节水灌溉项目。投资发展农业节水灌溉项目的，依法享有国家和省规定的同类投资项目的优惠政策。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使用微咸水、矿坑水等劣质水的，水资源征收标准应当低于优质水的标准；使用中水或者其他再生水的，减收污水处理费。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前款规定的有关费用的收取、减收标准，由价格、财政主管部门会同有关主管部门制定。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沿海地区的人民政府应当制定有关政策，鼓励用水单位对海水进行综合利用。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县级以上人民政府应当将一定比例的水资源费和超定额累进加价收取的水资源费、水费，专项用于节水技术研究、开发、推广和节水设施建设、节水管理及奖励。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第四章</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十二条规定，用水单位和个人未按规定安装量水计量设施的，由县以上水行政主管部门或者城市人民政府确定的部门责令限期改正；逾期未改正的，对非经营性的处1000元以下罚款，对经营性的处5000元以下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违反本办法第十二条第四款规定的，由县以上水行政主管部门或者城市人民政府确定的部门给予警告，责令停止违法行为并赔偿损失，可以并处1万元以下的罚款；构成犯罪的，依法追究刑事责任。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十七条规定，用水单位和个人在生产经营过程中使用省明令淘汰的高耗水工艺、设备和产品的，由县以上经贸主管部门责令停止使用，限期更换或者进行节水改造；逾期未更换或者改造的，处5000元以上3万元以下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十八条、第十九条规定，建设项目的中水设施和其他节水设施未建成或者未达到国家和省规定的要求擅自投入使用的，由县以上水行政主管部门责令停止使用，限期改正，处5万元以上10万元以下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二十一条规定，饮料和其他以水为主要原料的生产企业，将生产后的尾水直接排放或者产水率低于规定的比率的，由县以上水行政主管部门给予警告，责令限期改正；逾期未改正的，按每直接排放一吨尾水或者生产一吨饮用水100元的标准处罚款，但最高不得超过3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第三十五条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违反本办法第十三条第五款或者第二十二条规定的，由县以上水行政主管部门给予警告，责令限期改正；逾期未改正的，处5000元以下罚款。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第三十六条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违反本办法第二十六条规定，用水单位和个人为家庭生活等非经营性活动开凿水井的，由县以上水行政主管部门责令限期拆除取水设施；逾期未拆除的，由水行政主管部门组织拆除，拆除费用由违法责任人承担，可以处200元以下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第三十七条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水行政主管部门和有关部门工作人员，在履行职责过程中玩忽职守、滥用职权、徇私舞弊的，由其所在单位或者有关机关依法给予行政处分；构成犯罪的，依法追究刑事责任。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第五章</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第三十八条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bdr w:val="none" w:color="auto" w:sz="0" w:space="0"/>
          <w:shd w:val="clear" w:fill="FFFFFF"/>
        </w:rPr>
        <w:t>本办法下列用语的含义是：再生水，是指污水和废水经过处理，水质得到改善，回收后可以在一定范围内使用的非饮用水。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中水，是指污水和废水经净化处理后，达到国家《生活杂用水水质标准》或者《工业用水水质标准》，可以在一定范围内重复使用的再生水。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第三十九条</w:t>
      </w:r>
      <w:r>
        <w:rPr>
          <w:rFonts w:hint="eastAsia" w:ascii="仿宋_GB2312" w:hAnsi="仿宋_GB2312" w:eastAsia="仿宋_GB2312" w:cs="仿宋_GB2312"/>
          <w:i w:val="0"/>
          <w:iCs w:val="0"/>
          <w:caps w:val="0"/>
          <w:color w:val="333333"/>
          <w:spacing w:val="0"/>
          <w:sz w:val="32"/>
          <w:szCs w:val="32"/>
          <w:bdr w:val="none" w:color="auto" w:sz="0" w:space="0"/>
          <w:shd w:val="clear" w:fill="FFFFFF"/>
          <w:lang w:val="en-US" w:eastAsia="zh-CN"/>
        </w:rPr>
        <w:t xml:space="preserve">  </w:t>
      </w:r>
      <w:bookmarkStart w:id="0" w:name="_GoBack"/>
      <w:bookmarkEnd w:id="0"/>
      <w:r>
        <w:rPr>
          <w:rFonts w:hint="eastAsia" w:ascii="仿宋_GB2312" w:hAnsi="仿宋_GB2312" w:eastAsia="仿宋_GB2312" w:cs="仿宋_GB2312"/>
          <w:i w:val="0"/>
          <w:iCs w:val="0"/>
          <w:caps w:val="0"/>
          <w:color w:val="333333"/>
          <w:spacing w:val="0"/>
          <w:sz w:val="32"/>
          <w:szCs w:val="32"/>
          <w:bdr w:val="none" w:color="auto" w:sz="0" w:space="0"/>
          <w:shd w:val="clear" w:fill="FFFFFF"/>
        </w:rPr>
        <w:t>本办法自2003年8月1日起施行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阿里巴巴普惠体 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MGVlN2M1MmUyN2EwZmM2YjVkNjYyNTNkYjFlNGEifQ=="/>
  </w:docVars>
  <w:rsids>
    <w:rsidRoot w:val="414D0413"/>
    <w:rsid w:val="414D0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2022-09-30T07:36:00Z</dcterms:created>
  <dc:creator>李琳</dc:creator>
  <cp:lastModifiedBy>李琳</cp:lastModifiedBy>
  <dcterms:modified xsi:type="dcterms:W3CDTF">2022-09-30T07:38:17Z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65E7C6C1B6EB49B78ABC2F2159B08B1A</vt:lpwstr>
  </property>
</Properties>
</file>